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kamen i kamene agregate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1727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0708997710242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Stojaković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Vladimir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Nikola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07.08.1997.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Narodnog fronta 077/V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Zvezdara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01.03.2023.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kamen i kamene agregate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15.06.2016.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01.03.2023.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501-2240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LABORATORIJSKA ISPITIVANJA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501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kamen i kamene agregate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01.03.2024.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611-1174 od 22.02.2023.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31.08.2023.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ZA LABORATORIJSKA ISPITIVANJA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29.02.2024.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ZA LABORATORIJSKA ISPITIVANJA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kamen i kamene agregate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LABORATORIJSKA ISPITIVANJA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3/4/27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3/4/27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2/10/27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2/10/27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25.10.2021.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09.03.2023.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21.03.2023.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21.03.2023.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životne sredine (EMS)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